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307590"/>
          <w:left w:val="single" w:sz="6" w:space="0" w:color="307590"/>
          <w:bottom w:val="single" w:sz="6" w:space="0" w:color="307590"/>
          <w:right w:val="single" w:sz="6" w:space="0" w:color="307590"/>
        </w:tblBorders>
        <w:shd w:val="clear" w:color="auto" w:fill="FFFFFF"/>
        <w:tblCellMar>
          <w:top w:w="15" w:type="dxa"/>
          <w:left w:w="15" w:type="dxa"/>
          <w:bottom w:w="15" w:type="dxa"/>
          <w:right w:w="15" w:type="dxa"/>
        </w:tblCellMar>
        <w:tblLook w:val="04A0"/>
      </w:tblPr>
      <w:tblGrid>
        <w:gridCol w:w="4484"/>
        <w:gridCol w:w="4738"/>
      </w:tblGrid>
      <w:tr w:rsidR="00FC021F" w:rsidRPr="00FC021F" w:rsidTr="00FC021F">
        <w:trPr>
          <w:gridAfter w:val="1"/>
          <w:wAfter w:w="6000" w:type="dxa"/>
        </w:trPr>
        <w:tc>
          <w:tcPr>
            <w:tcW w:w="6000" w:type="dxa"/>
            <w:tcBorders>
              <w:top w:val="outset" w:sz="6" w:space="0" w:color="auto"/>
              <w:left w:val="outset" w:sz="6" w:space="0" w:color="auto"/>
              <w:bottom w:val="single" w:sz="6" w:space="0" w:color="D0DADD"/>
              <w:right w:val="single" w:sz="6" w:space="0" w:color="D0DADD"/>
            </w:tcBorders>
            <w:shd w:val="clear" w:color="auto" w:fill="FDFEFF"/>
            <w:tcMar>
              <w:top w:w="15" w:type="dxa"/>
              <w:left w:w="75" w:type="dxa"/>
              <w:bottom w:w="15" w:type="dxa"/>
              <w:right w:w="75" w:type="dxa"/>
            </w:tcMar>
            <w:vAlign w:val="center"/>
            <w:hideMark/>
          </w:tcPr>
          <w:p w:rsidR="00FC021F" w:rsidRPr="00FC021F" w:rsidRDefault="00FC021F" w:rsidP="00FC021F">
            <w:pPr>
              <w:spacing w:after="0" w:line="240" w:lineRule="auto"/>
              <w:rPr>
                <w:rFonts w:ascii="Verdana" w:eastAsia="Times New Roman" w:hAnsi="Verdana" w:cs="Times New Roman"/>
                <w:color w:val="0D3734"/>
                <w:sz w:val="15"/>
                <w:szCs w:val="15"/>
                <w:lang w:eastAsia="tr-TR"/>
              </w:rPr>
            </w:pPr>
            <w:r w:rsidRPr="00FC021F">
              <w:rPr>
                <w:rFonts w:ascii="Verdana" w:eastAsia="Times New Roman" w:hAnsi="Verdana" w:cs="Times New Roman"/>
                <w:color w:val="0D3734"/>
                <w:sz w:val="15"/>
                <w:szCs w:val="15"/>
                <w:lang w:eastAsia="tr-TR"/>
              </w:rPr>
              <w:t>Olağan</w:t>
            </w:r>
          </w:p>
        </w:tc>
      </w:tr>
      <w:tr w:rsidR="00FC021F" w:rsidRPr="00FC021F" w:rsidTr="00FC021F">
        <w:tc>
          <w:tcPr>
            <w:tcW w:w="3000" w:type="dxa"/>
            <w:tcBorders>
              <w:top w:val="outset" w:sz="6" w:space="0" w:color="auto"/>
              <w:left w:val="outset" w:sz="6" w:space="0" w:color="auto"/>
              <w:bottom w:val="single" w:sz="6" w:space="0" w:color="D0DADD"/>
              <w:right w:val="single" w:sz="6" w:space="0" w:color="D0DADD"/>
            </w:tcBorders>
            <w:shd w:val="clear" w:color="auto" w:fill="F9FAFB"/>
            <w:tcMar>
              <w:top w:w="15" w:type="dxa"/>
              <w:left w:w="75" w:type="dxa"/>
              <w:bottom w:w="15" w:type="dxa"/>
              <w:right w:w="75" w:type="dxa"/>
            </w:tcMar>
            <w:vAlign w:val="center"/>
            <w:hideMark/>
          </w:tcPr>
          <w:p w:rsidR="00FC021F" w:rsidRPr="00FC021F" w:rsidRDefault="00FC021F" w:rsidP="00FC021F">
            <w:pPr>
              <w:spacing w:after="0" w:line="240" w:lineRule="auto"/>
              <w:rPr>
                <w:rFonts w:ascii="Verdana" w:eastAsia="Times New Roman" w:hAnsi="Verdana" w:cs="Times New Roman"/>
                <w:color w:val="0D3734"/>
                <w:sz w:val="15"/>
                <w:szCs w:val="15"/>
                <w:lang w:eastAsia="tr-TR"/>
              </w:rPr>
            </w:pPr>
            <w:r w:rsidRPr="00FC021F">
              <w:rPr>
                <w:rFonts w:ascii="Verdana" w:eastAsia="Times New Roman" w:hAnsi="Verdana" w:cs="Times New Roman"/>
                <w:color w:val="0D3734"/>
                <w:sz w:val="15"/>
                <w:szCs w:val="15"/>
                <w:lang w:eastAsia="tr-TR"/>
              </w:rPr>
              <w:t>Tarihi ve Saati</w:t>
            </w:r>
          </w:p>
        </w:tc>
        <w:tc>
          <w:tcPr>
            <w:tcW w:w="6000" w:type="dxa"/>
            <w:tcBorders>
              <w:top w:val="outset" w:sz="6" w:space="0" w:color="auto"/>
              <w:left w:val="outset" w:sz="6" w:space="0" w:color="auto"/>
              <w:bottom w:val="single" w:sz="6" w:space="0" w:color="D0DADD"/>
              <w:right w:val="single" w:sz="6" w:space="0" w:color="D0DADD"/>
            </w:tcBorders>
            <w:shd w:val="clear" w:color="auto" w:fill="F9FAFB"/>
            <w:tcMar>
              <w:top w:w="15" w:type="dxa"/>
              <w:left w:w="75" w:type="dxa"/>
              <w:bottom w:w="15" w:type="dxa"/>
              <w:right w:w="75" w:type="dxa"/>
            </w:tcMar>
            <w:vAlign w:val="center"/>
            <w:hideMark/>
          </w:tcPr>
          <w:p w:rsidR="00FC021F" w:rsidRPr="00FC021F" w:rsidRDefault="00FC021F" w:rsidP="00FC021F">
            <w:pPr>
              <w:spacing w:after="0" w:line="240" w:lineRule="auto"/>
              <w:rPr>
                <w:rFonts w:ascii="Verdana" w:eastAsia="Times New Roman" w:hAnsi="Verdana" w:cs="Times New Roman"/>
                <w:color w:val="0D3734"/>
                <w:sz w:val="15"/>
                <w:szCs w:val="15"/>
                <w:lang w:eastAsia="tr-TR"/>
              </w:rPr>
            </w:pPr>
            <w:r w:rsidRPr="00FC021F">
              <w:rPr>
                <w:rFonts w:ascii="Verdana" w:eastAsia="Times New Roman" w:hAnsi="Verdana" w:cs="Times New Roman"/>
                <w:color w:val="0D3734"/>
                <w:sz w:val="15"/>
                <w:szCs w:val="15"/>
                <w:lang w:eastAsia="tr-TR"/>
              </w:rPr>
              <w:t xml:space="preserve">30.05.2014 </w:t>
            </w:r>
            <w:proofErr w:type="gramStart"/>
            <w:r w:rsidRPr="00FC021F">
              <w:rPr>
                <w:rFonts w:ascii="Verdana" w:eastAsia="Times New Roman" w:hAnsi="Verdana" w:cs="Times New Roman"/>
                <w:color w:val="0D3734"/>
                <w:sz w:val="15"/>
                <w:szCs w:val="15"/>
                <w:lang w:eastAsia="tr-TR"/>
              </w:rPr>
              <w:t>12:00</w:t>
            </w:r>
            <w:proofErr w:type="gramEnd"/>
          </w:p>
        </w:tc>
      </w:tr>
      <w:tr w:rsidR="00FC021F" w:rsidRPr="00FC021F" w:rsidTr="00FC021F">
        <w:tc>
          <w:tcPr>
            <w:tcW w:w="3000" w:type="dxa"/>
            <w:tcBorders>
              <w:top w:val="outset" w:sz="6" w:space="0" w:color="auto"/>
              <w:left w:val="outset" w:sz="6" w:space="0" w:color="auto"/>
              <w:bottom w:val="single" w:sz="6" w:space="0" w:color="D0DADD"/>
              <w:right w:val="single" w:sz="6" w:space="0" w:color="D0DADD"/>
            </w:tcBorders>
            <w:shd w:val="clear" w:color="auto" w:fill="FDFEFF"/>
            <w:tcMar>
              <w:top w:w="15" w:type="dxa"/>
              <w:left w:w="75" w:type="dxa"/>
              <w:bottom w:w="15" w:type="dxa"/>
              <w:right w:w="75" w:type="dxa"/>
            </w:tcMar>
            <w:vAlign w:val="center"/>
            <w:hideMark/>
          </w:tcPr>
          <w:p w:rsidR="00FC021F" w:rsidRPr="00FC021F" w:rsidRDefault="00FC021F" w:rsidP="00FC021F">
            <w:pPr>
              <w:spacing w:after="0" w:line="240" w:lineRule="auto"/>
              <w:rPr>
                <w:rFonts w:ascii="Verdana" w:eastAsia="Times New Roman" w:hAnsi="Verdana" w:cs="Times New Roman"/>
                <w:color w:val="0D3734"/>
                <w:sz w:val="15"/>
                <w:szCs w:val="15"/>
                <w:lang w:eastAsia="tr-TR"/>
              </w:rPr>
            </w:pPr>
            <w:r w:rsidRPr="00FC021F">
              <w:rPr>
                <w:rFonts w:ascii="Verdana" w:eastAsia="Times New Roman" w:hAnsi="Verdana" w:cs="Times New Roman"/>
                <w:color w:val="0D3734"/>
                <w:sz w:val="15"/>
                <w:szCs w:val="15"/>
                <w:lang w:eastAsia="tr-TR"/>
              </w:rPr>
              <w:t>Hesap Dönemi Başlangıç Tarihi</w:t>
            </w:r>
          </w:p>
        </w:tc>
        <w:tc>
          <w:tcPr>
            <w:tcW w:w="6000" w:type="dxa"/>
            <w:tcBorders>
              <w:top w:val="outset" w:sz="6" w:space="0" w:color="auto"/>
              <w:left w:val="outset" w:sz="6" w:space="0" w:color="auto"/>
              <w:bottom w:val="single" w:sz="6" w:space="0" w:color="D0DADD"/>
              <w:right w:val="single" w:sz="6" w:space="0" w:color="D0DADD"/>
            </w:tcBorders>
            <w:shd w:val="clear" w:color="auto" w:fill="FDFEFF"/>
            <w:tcMar>
              <w:top w:w="15" w:type="dxa"/>
              <w:left w:w="75" w:type="dxa"/>
              <w:bottom w:w="15" w:type="dxa"/>
              <w:right w:w="75" w:type="dxa"/>
            </w:tcMar>
            <w:vAlign w:val="center"/>
            <w:hideMark/>
          </w:tcPr>
          <w:p w:rsidR="00FC021F" w:rsidRPr="00FC021F" w:rsidRDefault="00FC021F" w:rsidP="00FC021F">
            <w:pPr>
              <w:spacing w:after="0" w:line="240" w:lineRule="auto"/>
              <w:rPr>
                <w:rFonts w:ascii="Verdana" w:eastAsia="Times New Roman" w:hAnsi="Verdana" w:cs="Times New Roman"/>
                <w:color w:val="0D3734"/>
                <w:sz w:val="15"/>
                <w:szCs w:val="15"/>
                <w:lang w:eastAsia="tr-TR"/>
              </w:rPr>
            </w:pPr>
            <w:r w:rsidRPr="00FC021F">
              <w:rPr>
                <w:rFonts w:ascii="Verdana" w:eastAsia="Times New Roman" w:hAnsi="Verdana" w:cs="Times New Roman"/>
                <w:color w:val="0D3734"/>
                <w:sz w:val="15"/>
                <w:szCs w:val="15"/>
                <w:lang w:eastAsia="tr-TR"/>
              </w:rPr>
              <w:t>01.01.2013</w:t>
            </w:r>
          </w:p>
        </w:tc>
      </w:tr>
      <w:tr w:rsidR="00FC021F" w:rsidRPr="00FC021F" w:rsidTr="00FC021F">
        <w:tc>
          <w:tcPr>
            <w:tcW w:w="3000" w:type="dxa"/>
            <w:tcBorders>
              <w:top w:val="outset" w:sz="6" w:space="0" w:color="auto"/>
              <w:left w:val="outset" w:sz="6" w:space="0" w:color="auto"/>
              <w:bottom w:val="single" w:sz="6" w:space="0" w:color="D0DADD"/>
              <w:right w:val="single" w:sz="6" w:space="0" w:color="D0DADD"/>
            </w:tcBorders>
            <w:shd w:val="clear" w:color="auto" w:fill="F9FAFB"/>
            <w:tcMar>
              <w:top w:w="15" w:type="dxa"/>
              <w:left w:w="75" w:type="dxa"/>
              <w:bottom w:w="15" w:type="dxa"/>
              <w:right w:w="75" w:type="dxa"/>
            </w:tcMar>
            <w:vAlign w:val="center"/>
            <w:hideMark/>
          </w:tcPr>
          <w:p w:rsidR="00FC021F" w:rsidRPr="00FC021F" w:rsidRDefault="00FC021F" w:rsidP="00FC021F">
            <w:pPr>
              <w:spacing w:after="0" w:line="240" w:lineRule="auto"/>
              <w:rPr>
                <w:rFonts w:ascii="Verdana" w:eastAsia="Times New Roman" w:hAnsi="Verdana" w:cs="Times New Roman"/>
                <w:color w:val="0D3734"/>
                <w:sz w:val="15"/>
                <w:szCs w:val="15"/>
                <w:lang w:eastAsia="tr-TR"/>
              </w:rPr>
            </w:pPr>
            <w:r w:rsidRPr="00FC021F">
              <w:rPr>
                <w:rFonts w:ascii="Verdana" w:eastAsia="Times New Roman" w:hAnsi="Verdana" w:cs="Times New Roman"/>
                <w:color w:val="0D3734"/>
                <w:sz w:val="15"/>
                <w:szCs w:val="15"/>
                <w:lang w:eastAsia="tr-TR"/>
              </w:rPr>
              <w:t>Hesap Dönemi Bitiş Tarihi</w:t>
            </w:r>
          </w:p>
        </w:tc>
        <w:tc>
          <w:tcPr>
            <w:tcW w:w="6000" w:type="dxa"/>
            <w:tcBorders>
              <w:top w:val="outset" w:sz="6" w:space="0" w:color="auto"/>
              <w:left w:val="outset" w:sz="6" w:space="0" w:color="auto"/>
              <w:bottom w:val="single" w:sz="6" w:space="0" w:color="D0DADD"/>
              <w:right w:val="single" w:sz="6" w:space="0" w:color="D0DADD"/>
            </w:tcBorders>
            <w:shd w:val="clear" w:color="auto" w:fill="F9FAFB"/>
            <w:tcMar>
              <w:top w:w="15" w:type="dxa"/>
              <w:left w:w="75" w:type="dxa"/>
              <w:bottom w:w="15" w:type="dxa"/>
              <w:right w:w="75" w:type="dxa"/>
            </w:tcMar>
            <w:vAlign w:val="center"/>
            <w:hideMark/>
          </w:tcPr>
          <w:p w:rsidR="00FC021F" w:rsidRPr="00FC021F" w:rsidRDefault="00FC021F" w:rsidP="00FC021F">
            <w:pPr>
              <w:spacing w:after="0" w:line="240" w:lineRule="auto"/>
              <w:rPr>
                <w:rFonts w:ascii="Verdana" w:eastAsia="Times New Roman" w:hAnsi="Verdana" w:cs="Times New Roman"/>
                <w:color w:val="0D3734"/>
                <w:sz w:val="15"/>
                <w:szCs w:val="15"/>
                <w:lang w:eastAsia="tr-TR"/>
              </w:rPr>
            </w:pPr>
            <w:r w:rsidRPr="00FC021F">
              <w:rPr>
                <w:rFonts w:ascii="Verdana" w:eastAsia="Times New Roman" w:hAnsi="Verdana" w:cs="Times New Roman"/>
                <w:color w:val="0D3734"/>
                <w:sz w:val="15"/>
                <w:szCs w:val="15"/>
                <w:lang w:eastAsia="tr-TR"/>
              </w:rPr>
              <w:t>31.12.2013</w:t>
            </w:r>
          </w:p>
        </w:tc>
      </w:tr>
      <w:tr w:rsidR="00FC021F" w:rsidRPr="00FC021F" w:rsidTr="00FC021F">
        <w:tc>
          <w:tcPr>
            <w:tcW w:w="3000" w:type="dxa"/>
            <w:tcBorders>
              <w:top w:val="outset" w:sz="6" w:space="0" w:color="auto"/>
              <w:left w:val="outset" w:sz="6" w:space="0" w:color="auto"/>
              <w:bottom w:val="single" w:sz="6" w:space="0" w:color="D0DADD"/>
              <w:right w:val="single" w:sz="6" w:space="0" w:color="D0DADD"/>
            </w:tcBorders>
            <w:shd w:val="clear" w:color="auto" w:fill="FDFEFF"/>
            <w:tcMar>
              <w:top w:w="15" w:type="dxa"/>
              <w:left w:w="75" w:type="dxa"/>
              <w:bottom w:w="15" w:type="dxa"/>
              <w:right w:w="75" w:type="dxa"/>
            </w:tcMar>
            <w:vAlign w:val="center"/>
            <w:hideMark/>
          </w:tcPr>
          <w:p w:rsidR="00FC021F" w:rsidRPr="00FC021F" w:rsidRDefault="00FC021F" w:rsidP="00FC021F">
            <w:pPr>
              <w:spacing w:after="0" w:line="240" w:lineRule="auto"/>
              <w:rPr>
                <w:rFonts w:ascii="Verdana" w:eastAsia="Times New Roman" w:hAnsi="Verdana" w:cs="Times New Roman"/>
                <w:color w:val="0D3734"/>
                <w:sz w:val="15"/>
                <w:szCs w:val="15"/>
                <w:lang w:eastAsia="tr-TR"/>
              </w:rPr>
            </w:pPr>
            <w:r w:rsidRPr="00FC021F">
              <w:rPr>
                <w:rFonts w:ascii="Verdana" w:eastAsia="Times New Roman" w:hAnsi="Verdana" w:cs="Times New Roman"/>
                <w:color w:val="0D3734"/>
                <w:sz w:val="15"/>
                <w:szCs w:val="15"/>
                <w:lang w:eastAsia="tr-TR"/>
              </w:rPr>
              <w:t>Genel Kurul Yapıldı mı?</w:t>
            </w:r>
          </w:p>
        </w:tc>
        <w:tc>
          <w:tcPr>
            <w:tcW w:w="6000" w:type="dxa"/>
            <w:tcBorders>
              <w:top w:val="outset" w:sz="6" w:space="0" w:color="auto"/>
              <w:left w:val="outset" w:sz="6" w:space="0" w:color="auto"/>
              <w:bottom w:val="single" w:sz="6" w:space="0" w:color="D0DADD"/>
              <w:right w:val="single" w:sz="6" w:space="0" w:color="D0DADD"/>
            </w:tcBorders>
            <w:shd w:val="clear" w:color="auto" w:fill="FDFEFF"/>
            <w:tcMar>
              <w:top w:w="15" w:type="dxa"/>
              <w:left w:w="75" w:type="dxa"/>
              <w:bottom w:w="15" w:type="dxa"/>
              <w:right w:w="75" w:type="dxa"/>
            </w:tcMar>
            <w:vAlign w:val="center"/>
            <w:hideMark/>
          </w:tcPr>
          <w:p w:rsidR="00FC021F" w:rsidRPr="00FC021F" w:rsidRDefault="00FC021F" w:rsidP="00FC021F">
            <w:pPr>
              <w:spacing w:after="0" w:line="240" w:lineRule="auto"/>
              <w:rPr>
                <w:rFonts w:ascii="Verdana" w:eastAsia="Times New Roman" w:hAnsi="Verdana" w:cs="Times New Roman"/>
                <w:color w:val="0D3734"/>
                <w:sz w:val="15"/>
                <w:szCs w:val="15"/>
                <w:lang w:eastAsia="tr-TR"/>
              </w:rPr>
            </w:pPr>
            <w:r w:rsidRPr="00FC021F">
              <w:rPr>
                <w:rFonts w:ascii="Verdana" w:eastAsia="Times New Roman" w:hAnsi="Verdana" w:cs="Times New Roman"/>
                <w:color w:val="0D3734"/>
                <w:sz w:val="15"/>
                <w:szCs w:val="15"/>
                <w:lang w:eastAsia="tr-TR"/>
              </w:rPr>
              <w:t>Evet</w:t>
            </w:r>
          </w:p>
        </w:tc>
      </w:tr>
      <w:tr w:rsidR="00FC021F" w:rsidRPr="00FC021F" w:rsidTr="00FC021F">
        <w:tc>
          <w:tcPr>
            <w:tcW w:w="3000" w:type="dxa"/>
            <w:tcBorders>
              <w:top w:val="outset" w:sz="6" w:space="0" w:color="auto"/>
              <w:left w:val="outset" w:sz="6" w:space="0" w:color="auto"/>
              <w:bottom w:val="single" w:sz="6" w:space="0" w:color="D0DADD"/>
              <w:right w:val="single" w:sz="6" w:space="0" w:color="D0DADD"/>
            </w:tcBorders>
            <w:shd w:val="clear" w:color="auto" w:fill="F9FAFB"/>
            <w:tcMar>
              <w:top w:w="15" w:type="dxa"/>
              <w:left w:w="75" w:type="dxa"/>
              <w:bottom w:w="15" w:type="dxa"/>
              <w:right w:w="75" w:type="dxa"/>
            </w:tcMar>
            <w:vAlign w:val="center"/>
            <w:hideMark/>
          </w:tcPr>
          <w:p w:rsidR="00FC021F" w:rsidRPr="00FC021F" w:rsidRDefault="00FC021F" w:rsidP="00FC021F">
            <w:pPr>
              <w:spacing w:after="0" w:line="240" w:lineRule="auto"/>
              <w:rPr>
                <w:rFonts w:ascii="Verdana" w:eastAsia="Times New Roman" w:hAnsi="Verdana" w:cs="Times New Roman"/>
                <w:color w:val="0D3734"/>
                <w:sz w:val="15"/>
                <w:szCs w:val="15"/>
                <w:lang w:eastAsia="tr-TR"/>
              </w:rPr>
            </w:pPr>
            <w:r w:rsidRPr="00FC021F">
              <w:rPr>
                <w:rFonts w:ascii="Verdana" w:eastAsia="Times New Roman" w:hAnsi="Verdana" w:cs="Times New Roman"/>
                <w:color w:val="0D3734"/>
                <w:sz w:val="15"/>
                <w:szCs w:val="15"/>
                <w:lang w:eastAsia="tr-TR"/>
              </w:rPr>
              <w:t>Alınan Kararlar</w:t>
            </w:r>
          </w:p>
        </w:tc>
        <w:tc>
          <w:tcPr>
            <w:tcW w:w="6000" w:type="dxa"/>
            <w:tcBorders>
              <w:top w:val="outset" w:sz="6" w:space="0" w:color="auto"/>
              <w:left w:val="outset" w:sz="6" w:space="0" w:color="auto"/>
              <w:bottom w:val="single" w:sz="6" w:space="0" w:color="D0DADD"/>
              <w:right w:val="single" w:sz="6" w:space="0" w:color="D0DADD"/>
            </w:tcBorders>
            <w:shd w:val="clear" w:color="auto" w:fill="F9FAFB"/>
            <w:tcMar>
              <w:top w:w="15" w:type="dxa"/>
              <w:left w:w="75" w:type="dxa"/>
              <w:bottom w:w="15" w:type="dxa"/>
              <w:right w:w="75" w:type="dxa"/>
            </w:tcMar>
            <w:vAlign w:val="center"/>
            <w:hideMark/>
          </w:tcPr>
          <w:p w:rsidR="00FC021F" w:rsidRPr="00FC021F" w:rsidRDefault="00FC021F" w:rsidP="00FC021F">
            <w:pPr>
              <w:spacing w:after="0" w:line="240" w:lineRule="auto"/>
              <w:rPr>
                <w:rFonts w:ascii="Verdana" w:eastAsia="Times New Roman" w:hAnsi="Verdana" w:cs="Times New Roman"/>
                <w:color w:val="0D3734"/>
                <w:sz w:val="15"/>
                <w:szCs w:val="15"/>
                <w:lang w:eastAsia="tr-TR"/>
              </w:rPr>
            </w:pPr>
            <w:r w:rsidRPr="00FC021F">
              <w:rPr>
                <w:rFonts w:ascii="Verdana" w:eastAsia="Times New Roman" w:hAnsi="Verdana" w:cs="Times New Roman"/>
                <w:color w:val="0D3734"/>
                <w:sz w:val="15"/>
                <w:szCs w:val="15"/>
                <w:lang w:eastAsia="tr-TR"/>
              </w:rPr>
              <w:t>Şirketimizin 30 Mayıs 2014 günü saat 12.00'de gerçekleştirilen 2013 Yılına ilişkin Olağan Genel Kurul İkinci Toplantısı'nda alınan kararlar özetle şu şekildedir.</w:t>
            </w:r>
            <w:r w:rsidRPr="00FC021F">
              <w:rPr>
                <w:rFonts w:ascii="Verdana" w:eastAsia="Times New Roman" w:hAnsi="Verdana" w:cs="Times New Roman"/>
                <w:color w:val="0D3734"/>
                <w:sz w:val="15"/>
                <w:szCs w:val="15"/>
                <w:lang w:eastAsia="tr-TR"/>
              </w:rPr>
              <w:br/>
              <w:t>-2013 yılına ilişkin Yönetim Kurulu Faaliyet Raporu ile Bağımsız Denetim Kuruluşu tarafından hazırlanan Bağımsız Denetim Raporu'nun onaylanmasına,</w:t>
            </w:r>
            <w:r w:rsidRPr="00FC021F">
              <w:rPr>
                <w:rFonts w:ascii="Verdana" w:eastAsia="Times New Roman" w:hAnsi="Verdana" w:cs="Times New Roman"/>
                <w:color w:val="0D3734"/>
                <w:sz w:val="15"/>
                <w:szCs w:val="15"/>
                <w:lang w:eastAsia="tr-TR"/>
              </w:rPr>
              <w:br/>
              <w:t>-2013 yılı finansal tablolarının onaylanmasına,</w:t>
            </w:r>
            <w:r w:rsidRPr="00FC021F">
              <w:rPr>
                <w:rFonts w:ascii="Verdana" w:eastAsia="Times New Roman" w:hAnsi="Verdana" w:cs="Times New Roman"/>
                <w:color w:val="0D3734"/>
                <w:sz w:val="15"/>
                <w:szCs w:val="15"/>
                <w:lang w:eastAsia="tr-TR"/>
              </w:rPr>
              <w:br/>
              <w:t>-2013 yılına ait, Yönetim Kurulu'nun kâr dağıtımı yapılmamasına ilişkin teklifinin onaylanmasına,</w:t>
            </w:r>
            <w:r w:rsidRPr="00FC021F">
              <w:rPr>
                <w:rFonts w:ascii="Verdana" w:eastAsia="Times New Roman" w:hAnsi="Verdana" w:cs="Times New Roman"/>
                <w:color w:val="0D3734"/>
                <w:sz w:val="15"/>
                <w:szCs w:val="15"/>
                <w:lang w:eastAsia="tr-TR"/>
              </w:rPr>
              <w:br/>
              <w:t>-Şirketin 2014 ve izleyen yıllara ilişkin kar dağıtım politikasının onaylanmasına,</w:t>
            </w:r>
            <w:r w:rsidRPr="00FC021F">
              <w:rPr>
                <w:rFonts w:ascii="Verdana" w:eastAsia="Times New Roman" w:hAnsi="Verdana" w:cs="Times New Roman"/>
                <w:color w:val="0D3734"/>
                <w:sz w:val="15"/>
                <w:szCs w:val="15"/>
                <w:lang w:eastAsia="tr-TR"/>
              </w:rPr>
              <w:br/>
              <w:t xml:space="preserve">-Yönetim Kurulu Üyelerinin 2013 yılı muamele, fiil ve işlerinden dolayı ayrı </w:t>
            </w:r>
            <w:proofErr w:type="spellStart"/>
            <w:r w:rsidRPr="00FC021F">
              <w:rPr>
                <w:rFonts w:ascii="Verdana" w:eastAsia="Times New Roman" w:hAnsi="Verdana" w:cs="Times New Roman"/>
                <w:color w:val="0D3734"/>
                <w:sz w:val="15"/>
                <w:szCs w:val="15"/>
                <w:lang w:eastAsia="tr-TR"/>
              </w:rPr>
              <w:t>ayrı</w:t>
            </w:r>
            <w:proofErr w:type="spellEnd"/>
            <w:r w:rsidRPr="00FC021F">
              <w:rPr>
                <w:rFonts w:ascii="Verdana" w:eastAsia="Times New Roman" w:hAnsi="Verdana" w:cs="Times New Roman"/>
                <w:color w:val="0D3734"/>
                <w:sz w:val="15"/>
                <w:szCs w:val="15"/>
                <w:lang w:eastAsia="tr-TR"/>
              </w:rPr>
              <w:t xml:space="preserve"> ibra edilmelerine,</w:t>
            </w:r>
            <w:r w:rsidRPr="00FC021F">
              <w:rPr>
                <w:rFonts w:ascii="Verdana" w:eastAsia="Times New Roman" w:hAnsi="Verdana" w:cs="Times New Roman"/>
                <w:color w:val="0D3734"/>
                <w:sz w:val="15"/>
                <w:szCs w:val="15"/>
                <w:lang w:eastAsia="tr-TR"/>
              </w:rPr>
              <w:br/>
              <w:t>-Güreli Yeminli Mali Müşavirlik Ve Bağımsız Denetim Hizmetleri A.Ş.'</w:t>
            </w:r>
            <w:proofErr w:type="spellStart"/>
            <w:r w:rsidRPr="00FC021F">
              <w:rPr>
                <w:rFonts w:ascii="Verdana" w:eastAsia="Times New Roman" w:hAnsi="Verdana" w:cs="Times New Roman"/>
                <w:color w:val="0D3734"/>
                <w:sz w:val="15"/>
                <w:szCs w:val="15"/>
                <w:lang w:eastAsia="tr-TR"/>
              </w:rPr>
              <w:t>nin</w:t>
            </w:r>
            <w:proofErr w:type="spellEnd"/>
            <w:r w:rsidRPr="00FC021F">
              <w:rPr>
                <w:rFonts w:ascii="Verdana" w:eastAsia="Times New Roman" w:hAnsi="Verdana" w:cs="Times New Roman"/>
                <w:color w:val="0D3734"/>
                <w:sz w:val="15"/>
                <w:szCs w:val="15"/>
                <w:lang w:eastAsia="tr-TR"/>
              </w:rPr>
              <w:t xml:space="preserve"> Bağımsız Denetim Kurulu olarak seçilmesine</w:t>
            </w:r>
            <w:r w:rsidRPr="00FC021F">
              <w:rPr>
                <w:rFonts w:ascii="Verdana" w:eastAsia="Times New Roman" w:hAnsi="Verdana" w:cs="Times New Roman"/>
                <w:color w:val="0D3734"/>
                <w:sz w:val="15"/>
                <w:szCs w:val="15"/>
                <w:lang w:eastAsia="tr-TR"/>
              </w:rPr>
              <w:br/>
              <w:t>-Şirket tarafından 2013 yılı içinde bağış yapılması bilgisinin paylaşılmasına,</w:t>
            </w:r>
            <w:r w:rsidRPr="00FC021F">
              <w:rPr>
                <w:rFonts w:ascii="Verdana" w:eastAsia="Times New Roman" w:hAnsi="Verdana" w:cs="Times New Roman"/>
                <w:color w:val="0D3734"/>
                <w:sz w:val="15"/>
                <w:szCs w:val="15"/>
                <w:lang w:eastAsia="tr-TR"/>
              </w:rPr>
              <w:br/>
              <w:t>-Şirket tarafından gerçekleştirilebilecek bağış sınırının onaylanmasına,</w:t>
            </w:r>
            <w:r w:rsidRPr="00FC021F">
              <w:rPr>
                <w:rFonts w:ascii="Verdana" w:eastAsia="Times New Roman" w:hAnsi="Verdana" w:cs="Times New Roman"/>
                <w:color w:val="0D3734"/>
                <w:sz w:val="15"/>
                <w:szCs w:val="15"/>
                <w:lang w:eastAsia="tr-TR"/>
              </w:rPr>
              <w:br/>
              <w:t>-Şirket Ücretlendirme Politikasının onaylanmasına,</w:t>
            </w:r>
            <w:r w:rsidRPr="00FC021F">
              <w:rPr>
                <w:rFonts w:ascii="Verdana" w:eastAsia="Times New Roman" w:hAnsi="Verdana" w:cs="Times New Roman"/>
                <w:color w:val="0D3734"/>
                <w:sz w:val="15"/>
                <w:szCs w:val="15"/>
                <w:lang w:eastAsia="tr-TR"/>
              </w:rPr>
              <w:br/>
              <w:t xml:space="preserve">-Yönetim </w:t>
            </w:r>
            <w:proofErr w:type="gramStart"/>
            <w:r w:rsidRPr="00FC021F">
              <w:rPr>
                <w:rFonts w:ascii="Verdana" w:eastAsia="Times New Roman" w:hAnsi="Verdana" w:cs="Times New Roman"/>
                <w:color w:val="0D3734"/>
                <w:sz w:val="15"/>
                <w:szCs w:val="15"/>
                <w:lang w:eastAsia="tr-TR"/>
              </w:rPr>
              <w:t>hakimiyetini</w:t>
            </w:r>
            <w:proofErr w:type="gramEnd"/>
            <w:r w:rsidRPr="00FC021F">
              <w:rPr>
                <w:rFonts w:ascii="Verdana" w:eastAsia="Times New Roman" w:hAnsi="Verdana" w:cs="Times New Roman"/>
                <w:color w:val="0D3734"/>
                <w:sz w:val="15"/>
                <w:szCs w:val="15"/>
                <w:lang w:eastAsia="tr-TR"/>
              </w:rPr>
              <w:t xml:space="preserve"> elinde bulunduran pay sahiplerine, Yönetim Kurulu üyelerine, üst düzey yöneticilere ve bunların eş ve ikinci dereceye kadar kan ve sıhrî yakınlarına, Şirket veya bağlı ortaklıkları ile çıkar çatışmasına neden olabilecek nitelikte işlem yapabilmeleri, Şirketin faaliyet konusuna giren işleri bizzat ve başkaları adına yapmaları ve aynı tür işleri yapan şirketlerde sorumluluğu sınırsız ortak sıfatıyla da ortak olabilmeleri ve diğer işlemleri yapabilmeleri hususunda Türk Ticaret Kanunu'nun 395 ve 396. maddeleri uyarınca izin verilmesine,</w:t>
            </w:r>
            <w:r w:rsidRPr="00FC021F">
              <w:rPr>
                <w:rFonts w:ascii="Verdana" w:eastAsia="Times New Roman" w:hAnsi="Verdana" w:cs="Times New Roman"/>
                <w:color w:val="0D3734"/>
                <w:sz w:val="15"/>
                <w:szCs w:val="15"/>
                <w:lang w:eastAsia="tr-TR"/>
              </w:rPr>
              <w:br/>
              <w:t>toplantıya katılanların oy birliği ile karar verilmiştir.</w:t>
            </w:r>
            <w:r w:rsidRPr="00FC021F">
              <w:rPr>
                <w:rFonts w:ascii="Verdana" w:eastAsia="Times New Roman" w:hAnsi="Verdana" w:cs="Times New Roman"/>
                <w:color w:val="0D3734"/>
                <w:sz w:val="15"/>
                <w:szCs w:val="15"/>
                <w:lang w:eastAsia="tr-TR"/>
              </w:rPr>
              <w:br/>
              <w:t>Alınan kararların tam metnini içeren Genel Kurul Toplantı Tutanağı ekte yer almaktadır.</w:t>
            </w:r>
          </w:p>
        </w:tc>
      </w:tr>
    </w:tbl>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021F"/>
    <w:rsid w:val="0000069E"/>
    <w:rsid w:val="00330F71"/>
    <w:rsid w:val="00513708"/>
    <w:rsid w:val="00590631"/>
    <w:rsid w:val="005A25C4"/>
    <w:rsid w:val="007430C4"/>
    <w:rsid w:val="007B020B"/>
    <w:rsid w:val="009105AB"/>
    <w:rsid w:val="00A661B2"/>
    <w:rsid w:val="00AC4867"/>
    <w:rsid w:val="00D53C04"/>
    <w:rsid w:val="00E76CC1"/>
    <w:rsid w:val="00FC02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250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2014-05-30T13:47:00Z</dcterms:created>
  <dcterms:modified xsi:type="dcterms:W3CDTF">2014-05-30T13:47:00Z</dcterms:modified>
</cp:coreProperties>
</file>